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62A" w:rsidRPr="00D2799F" w:rsidRDefault="00B4362A" w:rsidP="00B4362A">
      <w:pPr>
        <w:pStyle w:val="Ttulo1"/>
        <w:jc w:val="both"/>
        <w:rPr>
          <w:lang w:val="es-ES"/>
        </w:rPr>
      </w:pPr>
      <w:bookmarkStart w:id="0" w:name="_Toc328312204"/>
      <w:r w:rsidRPr="00D2799F">
        <w:rPr>
          <w:b/>
          <w:lang w:val="es-ES"/>
        </w:rPr>
        <w:t>PASIVO</w:t>
      </w:r>
      <w:bookmarkEnd w:id="0"/>
    </w:p>
    <w:p w:rsidR="00B4362A" w:rsidRPr="00D2799F" w:rsidRDefault="00B4362A" w:rsidP="00B4362A">
      <w:pPr>
        <w:jc w:val="both"/>
        <w:rPr>
          <w:lang w:val="es-ES"/>
        </w:rPr>
      </w:pPr>
      <w:r w:rsidRPr="00D2799F">
        <w:rPr>
          <w:lang w:val="es-ES"/>
        </w:rPr>
        <w:t>Una entidad tiene un pasivo cuando con motivo a un hecho ya ocurrido está obligado a entregar a otra persona (física o jurídica) activos o un número indeterminado de instrumentos propios de patrimonio o prestarle algún servicio.</w:t>
      </w:r>
    </w:p>
    <w:p w:rsidR="00B4362A" w:rsidRPr="00AC5DDE" w:rsidRDefault="00B4362A" w:rsidP="00B4362A">
      <w:pPr>
        <w:jc w:val="both"/>
        <w:rPr>
          <w:lang w:val="es-ES"/>
        </w:rPr>
      </w:pPr>
      <w:r w:rsidRPr="00AC5DDE">
        <w:rPr>
          <w:lang w:val="es-ES"/>
        </w:rPr>
        <w:t>La cancelación de la obligación deberá efectuarse en una fecha determinada o determinable o debido a la ocurrencia de cierto hecho o requerimiento del acreedor.</w:t>
      </w:r>
    </w:p>
    <w:p w:rsidR="00B4362A" w:rsidRPr="00AC5DDE" w:rsidRDefault="00B4362A" w:rsidP="00B4362A">
      <w:pPr>
        <w:jc w:val="both"/>
        <w:rPr>
          <w:lang w:val="es-ES"/>
        </w:rPr>
      </w:pPr>
      <w:r w:rsidRPr="00AC5DDE">
        <w:rPr>
          <w:lang w:val="es-ES"/>
        </w:rPr>
        <w:t>La asignación de medidas contables se basa habitualmente en estos atributos:</w:t>
      </w:r>
    </w:p>
    <w:p w:rsidR="00B4362A" w:rsidRPr="00D2799F" w:rsidRDefault="00B4362A" w:rsidP="00B4362A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D2799F">
        <w:rPr>
          <w:lang w:val="es-ES"/>
        </w:rPr>
        <w:t>Costo histórico –fecha de reconocimiento del pasivo-</w:t>
      </w:r>
    </w:p>
    <w:p w:rsidR="00B4362A" w:rsidRDefault="00B4362A" w:rsidP="00B4362A">
      <w:pPr>
        <w:pStyle w:val="Prrafodelista"/>
        <w:numPr>
          <w:ilvl w:val="0"/>
          <w:numId w:val="1"/>
        </w:numPr>
        <w:jc w:val="both"/>
      </w:pPr>
      <w:r>
        <w:t>Valor razonable o valor justo</w:t>
      </w:r>
    </w:p>
    <w:p w:rsidR="00B4362A" w:rsidRPr="00D2799F" w:rsidRDefault="00B4362A" w:rsidP="00B4362A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D2799F">
        <w:rPr>
          <w:lang w:val="es-ES"/>
        </w:rPr>
        <w:t>Las cuentas a pagar el importe a desembolsar para su cancelación</w:t>
      </w:r>
    </w:p>
    <w:p w:rsidR="00B4362A" w:rsidRPr="00D2799F" w:rsidRDefault="00B4362A" w:rsidP="00B4362A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D2799F">
        <w:rPr>
          <w:lang w:val="es-ES"/>
        </w:rPr>
        <w:t>Otras cuentas a pagar, el valor descontado (VD) de los futuros flujos de fondos a desembolsar, calculado con la tasa de interés vigente al momento de reconocimiento inicial del pasivo</w:t>
      </w:r>
    </w:p>
    <w:p w:rsidR="00B4362A" w:rsidRDefault="00B4362A" w:rsidP="00B4362A">
      <w:pPr>
        <w:pStyle w:val="Prrafodelista"/>
        <w:numPr>
          <w:ilvl w:val="0"/>
          <w:numId w:val="1"/>
        </w:numPr>
        <w:jc w:val="both"/>
      </w:pPr>
      <w:r>
        <w:t>Costo de cancelación</w:t>
      </w:r>
    </w:p>
    <w:p w:rsidR="00B4362A" w:rsidRPr="0001435D" w:rsidRDefault="00B4362A" w:rsidP="00B4362A">
      <w:pPr>
        <w:pStyle w:val="Ttulo2"/>
        <w:jc w:val="both"/>
        <w:rPr>
          <w:lang w:val="es-ES"/>
        </w:rPr>
      </w:pPr>
      <w:bookmarkStart w:id="1" w:name="_Toc328312205"/>
      <w:r w:rsidRPr="0001435D">
        <w:rPr>
          <w:lang w:val="es-ES"/>
        </w:rPr>
        <w:t>PREGUNTAS</w:t>
      </w:r>
      <w:bookmarkEnd w:id="1"/>
    </w:p>
    <w:p w:rsidR="00B4362A" w:rsidRPr="0001435D" w:rsidRDefault="00B4362A" w:rsidP="00B4362A">
      <w:pPr>
        <w:jc w:val="both"/>
        <w:rPr>
          <w:lang w:val="es-ES"/>
        </w:rPr>
      </w:pPr>
      <w:r w:rsidRPr="0001435D">
        <w:rPr>
          <w:lang w:val="es-ES"/>
        </w:rPr>
        <w:t>Indique que atributos de los pasivos resultan de especial interés para su medición contable</w:t>
      </w:r>
    </w:p>
    <w:p w:rsidR="00B4362A" w:rsidRPr="00D2799F" w:rsidRDefault="00B4362A" w:rsidP="00B4362A">
      <w:pPr>
        <w:jc w:val="both"/>
        <w:rPr>
          <w:lang w:val="es-ES"/>
        </w:rPr>
      </w:pPr>
      <w:r w:rsidRPr="00D2799F">
        <w:rPr>
          <w:lang w:val="es-ES"/>
        </w:rPr>
        <w:t>Su valor razonable (valor justo), su costo de cancelación, su importe original, el importe resultante de aplicar el método de la tasa efectiva, el importe nominal por pagar y su valor esperado.</w:t>
      </w:r>
    </w:p>
    <w:p w:rsidR="00B4362A" w:rsidRPr="00AC5DDE" w:rsidRDefault="00B4362A" w:rsidP="00B4362A">
      <w:pPr>
        <w:jc w:val="both"/>
        <w:rPr>
          <w:lang w:val="es-ES"/>
        </w:rPr>
      </w:pPr>
      <w:r w:rsidRPr="00AC5DDE">
        <w:rPr>
          <w:lang w:val="es-ES"/>
        </w:rPr>
        <w:t>Los pasivos se originan en compromisos asumidos contractualmente por hechos que ya han ocurrido duya cancelación obligara al desprendimiento de activos o a la prestación de servicios en el futuro</w:t>
      </w:r>
    </w:p>
    <w:p w:rsidR="00B4362A" w:rsidRPr="00D2799F" w:rsidRDefault="00B4362A" w:rsidP="00B4362A">
      <w:pPr>
        <w:jc w:val="both"/>
        <w:rPr>
          <w:color w:val="1F497D" w:themeColor="text2"/>
          <w:lang w:val="es-ES"/>
        </w:rPr>
      </w:pPr>
      <w:r w:rsidRPr="00D2799F">
        <w:rPr>
          <w:color w:val="1F497D" w:themeColor="text2"/>
          <w:lang w:val="es-ES"/>
        </w:rPr>
        <w:t>Incorrecto. Pueden existir pasivos por obligaciones que no surgen de contratos.</w:t>
      </w:r>
    </w:p>
    <w:p w:rsidR="00B4362A" w:rsidRPr="00AC5DDE" w:rsidRDefault="00B4362A" w:rsidP="00B4362A">
      <w:pPr>
        <w:jc w:val="both"/>
        <w:rPr>
          <w:lang w:val="es-ES"/>
        </w:rPr>
      </w:pPr>
      <w:r w:rsidRPr="00AC5DDE">
        <w:rPr>
          <w:lang w:val="es-ES"/>
        </w:rPr>
        <w:t>Un activo o un pasivo podría existir pero no ser reconocido en la contabilidad debido a la imposibilidad de asignarle una medida contable de una manera fiable.</w:t>
      </w:r>
    </w:p>
    <w:p w:rsidR="00D27BC6" w:rsidRDefault="00D27BC6" w:rsidP="00B4362A">
      <w:pPr>
        <w:pBdr>
          <w:bottom w:val="single" w:sz="4" w:space="1" w:color="auto"/>
        </w:pBdr>
        <w:rPr>
          <w:lang w:val="es-ES"/>
        </w:rPr>
      </w:pPr>
    </w:p>
    <w:p w:rsidR="00B4362A" w:rsidRPr="00C97621" w:rsidRDefault="00B4362A" w:rsidP="00B4362A">
      <w:pPr>
        <w:tabs>
          <w:tab w:val="left" w:pos="601"/>
        </w:tabs>
        <w:jc w:val="both"/>
        <w:rPr>
          <w:rFonts w:ascii="Arial Black" w:hAnsi="Arial Black"/>
          <w:sz w:val="24"/>
          <w:szCs w:val="24"/>
          <w:u w:val="single"/>
        </w:rPr>
      </w:pPr>
      <w:r w:rsidRPr="00C97621">
        <w:rPr>
          <w:rFonts w:ascii="Arial Black" w:hAnsi="Arial Black"/>
          <w:sz w:val="24"/>
          <w:szCs w:val="24"/>
          <w:u w:val="single"/>
        </w:rPr>
        <w:t>PASIVO</w:t>
      </w:r>
    </w:p>
    <w:p w:rsidR="00B4362A" w:rsidRDefault="00B4362A" w:rsidP="00B4362A">
      <w:pPr>
        <w:tabs>
          <w:tab w:val="left" w:pos="601"/>
        </w:tabs>
        <w:jc w:val="both"/>
        <w:rPr>
          <w:rFonts w:ascii="Arial Black" w:hAnsi="Arial Black"/>
        </w:rPr>
      </w:pPr>
      <w:r>
        <w:rPr>
          <w:rFonts w:ascii="Arial Black" w:hAnsi="Arial Black"/>
        </w:rPr>
        <w:t>DEUDAS</w:t>
      </w:r>
    </w:p>
    <w:p w:rsidR="00B4362A" w:rsidRPr="0024413B" w:rsidRDefault="00B4362A" w:rsidP="00B4362A">
      <w:pPr>
        <w:pStyle w:val="Prrafodelista"/>
        <w:numPr>
          <w:ilvl w:val="0"/>
          <w:numId w:val="5"/>
        </w:numPr>
        <w:tabs>
          <w:tab w:val="left" w:pos="851"/>
        </w:tabs>
        <w:jc w:val="both"/>
        <w:rPr>
          <w:rFonts w:ascii="Lucida Calligraphy" w:hAnsi="Lucida Calligraphy" w:cstheme="minorHAnsi"/>
          <w:sz w:val="16"/>
          <w:szCs w:val="16"/>
        </w:rPr>
      </w:pPr>
      <w:r w:rsidRPr="0024413B">
        <w:rPr>
          <w:rFonts w:ascii="Lucida Calligraphy" w:hAnsi="Lucida Calligraphy" w:cstheme="minorHAnsi"/>
          <w:b/>
          <w:sz w:val="16"/>
          <w:szCs w:val="16"/>
          <w:u w:val="single"/>
        </w:rPr>
        <w:t>Pasivos a cancelar en moneda</w:t>
      </w:r>
    </w:p>
    <w:p w:rsidR="00B4362A" w:rsidRPr="00031C5F" w:rsidRDefault="00B4362A" w:rsidP="00B4362A">
      <w:pPr>
        <w:pStyle w:val="Prrafodelista"/>
        <w:numPr>
          <w:ilvl w:val="0"/>
          <w:numId w:val="4"/>
        </w:numPr>
        <w:tabs>
          <w:tab w:val="left" w:pos="884"/>
        </w:tabs>
        <w:ind w:left="884" w:hanging="283"/>
        <w:jc w:val="both"/>
        <w:rPr>
          <w:rFonts w:ascii="Lucida Calligraphy" w:hAnsi="Lucida Calligraphy" w:cstheme="minorHAnsi"/>
          <w:sz w:val="16"/>
          <w:szCs w:val="16"/>
        </w:rPr>
      </w:pPr>
      <w:r w:rsidRPr="00031C5F">
        <w:rPr>
          <w:rFonts w:ascii="Lucida Calligraphy" w:hAnsi="Lucida Calligraphy" w:cstheme="minorHAnsi"/>
          <w:sz w:val="16"/>
          <w:szCs w:val="16"/>
        </w:rPr>
        <w:t xml:space="preserve">Intención o factibilidad de </w:t>
      </w:r>
      <w:r>
        <w:rPr>
          <w:rFonts w:ascii="Lucida Calligraphy" w:hAnsi="Lucida Calligraphy" w:cstheme="minorHAnsi"/>
          <w:sz w:val="16"/>
          <w:szCs w:val="16"/>
        </w:rPr>
        <w:t>pago anticipado</w:t>
      </w:r>
      <w:r w:rsidRPr="00031C5F">
        <w:rPr>
          <w:rFonts w:ascii="Lucida Calligraphy" w:hAnsi="Lucida Calligraphy" w:cstheme="minorHAnsi"/>
          <w:sz w:val="16"/>
          <w:szCs w:val="16"/>
        </w:rPr>
        <w:t xml:space="preserve"> </w:t>
      </w:r>
      <w:r w:rsidRPr="00031C5F">
        <w:rPr>
          <w:rFonts w:ascii="Lucida Calligraphy" w:hAnsi="Lucida Calligraphy" w:cstheme="minorHAnsi"/>
          <w:b/>
          <w:sz w:val="16"/>
          <w:szCs w:val="16"/>
          <w:u w:val="single"/>
        </w:rPr>
        <w:t>VNR</w:t>
      </w:r>
      <w:r w:rsidRPr="00031C5F">
        <w:rPr>
          <w:rFonts w:ascii="Lucida Calligraphy" w:hAnsi="Lucida Calligraphy" w:cstheme="minorHAnsi"/>
          <w:b/>
          <w:sz w:val="16"/>
          <w:szCs w:val="16"/>
        </w:rPr>
        <w:t xml:space="preserve"> –</w:t>
      </w:r>
      <w:r w:rsidRPr="00031C5F">
        <w:rPr>
          <w:rFonts w:cstheme="minorHAnsi"/>
          <w:b/>
          <w:sz w:val="16"/>
          <w:szCs w:val="16"/>
        </w:rPr>
        <w:t>CTE</w:t>
      </w:r>
      <w:r w:rsidRPr="00031C5F">
        <w:rPr>
          <w:rFonts w:ascii="Lucida Calligraphy" w:hAnsi="Lucida Calligraphy" w:cstheme="minorHAnsi"/>
          <w:b/>
          <w:sz w:val="16"/>
          <w:szCs w:val="16"/>
        </w:rPr>
        <w:t>-</w:t>
      </w:r>
    </w:p>
    <w:p w:rsidR="00B4362A" w:rsidRPr="0024413B" w:rsidRDefault="00B4362A" w:rsidP="00B4362A">
      <w:pPr>
        <w:pStyle w:val="Prrafodelista"/>
        <w:numPr>
          <w:ilvl w:val="0"/>
          <w:numId w:val="4"/>
        </w:numPr>
        <w:tabs>
          <w:tab w:val="left" w:pos="884"/>
        </w:tabs>
        <w:ind w:left="884" w:hanging="283"/>
        <w:jc w:val="both"/>
        <w:rPr>
          <w:rFonts w:ascii="Lucida Calligraphy" w:hAnsi="Lucida Calligraphy" w:cstheme="minorHAnsi"/>
          <w:sz w:val="16"/>
          <w:szCs w:val="16"/>
        </w:rPr>
      </w:pPr>
      <w:r w:rsidRPr="00031C5F">
        <w:rPr>
          <w:rFonts w:ascii="Lucida Calligraphy" w:hAnsi="Lucida Calligraphy" w:cstheme="minorHAnsi"/>
          <w:sz w:val="16"/>
          <w:szCs w:val="16"/>
          <w:u w:val="single"/>
        </w:rPr>
        <w:t>No</w:t>
      </w:r>
      <w:r w:rsidRPr="00031C5F">
        <w:rPr>
          <w:rFonts w:ascii="Lucida Calligraphy" w:hAnsi="Lucida Calligraphy" w:cstheme="minorHAnsi"/>
          <w:sz w:val="16"/>
          <w:szCs w:val="16"/>
        </w:rPr>
        <w:t xml:space="preserve"> hay intención o factibilidad de </w:t>
      </w:r>
      <w:r>
        <w:rPr>
          <w:rFonts w:ascii="Lucida Calligraphy" w:hAnsi="Lucida Calligraphy" w:cstheme="minorHAnsi"/>
          <w:sz w:val="16"/>
          <w:szCs w:val="16"/>
        </w:rPr>
        <w:t>pago anticipado</w:t>
      </w:r>
      <w:r w:rsidRPr="00031C5F">
        <w:rPr>
          <w:rFonts w:ascii="Lucida Calligraphy" w:hAnsi="Lucida Calligraphy" w:cstheme="minorHAnsi"/>
          <w:sz w:val="16"/>
          <w:szCs w:val="16"/>
        </w:rPr>
        <w:t xml:space="preserve">: valor original del </w:t>
      </w:r>
      <w:r>
        <w:rPr>
          <w:rFonts w:ascii="Lucida Calligraphy" w:hAnsi="Lucida Calligraphy" w:cstheme="minorHAnsi"/>
          <w:sz w:val="16"/>
          <w:szCs w:val="16"/>
        </w:rPr>
        <w:t>pasivo</w:t>
      </w:r>
      <w:r w:rsidRPr="00031C5F">
        <w:rPr>
          <w:rFonts w:ascii="Lucida Calligraphy" w:hAnsi="Lucida Calligraphy" w:cstheme="minorHAnsi"/>
          <w:sz w:val="16"/>
          <w:szCs w:val="16"/>
        </w:rPr>
        <w:t xml:space="preserve"> + porción devengada a cobrar (intereses) – </w:t>
      </w:r>
      <w:r>
        <w:rPr>
          <w:rFonts w:ascii="Lucida Calligraphy" w:hAnsi="Lucida Calligraphy" w:cstheme="minorHAnsi"/>
          <w:sz w:val="16"/>
          <w:szCs w:val="16"/>
        </w:rPr>
        <w:t>pagos</w:t>
      </w:r>
      <w:r w:rsidRPr="00031C5F">
        <w:rPr>
          <w:rFonts w:ascii="Lucida Calligraphy" w:hAnsi="Lucida Calligraphy" w:cstheme="minorHAnsi"/>
          <w:sz w:val="16"/>
          <w:szCs w:val="16"/>
        </w:rPr>
        <w:t xml:space="preserve">; considerando la TIR determinada al momento de la medición original. </w:t>
      </w:r>
      <w:r w:rsidRPr="00031C5F">
        <w:rPr>
          <w:rFonts w:ascii="Lucida Calligraphy" w:hAnsi="Lucida Calligraphy" w:cstheme="minorHAnsi"/>
          <w:b/>
          <w:sz w:val="16"/>
          <w:szCs w:val="16"/>
        </w:rPr>
        <w:t>–</w:t>
      </w:r>
      <w:r w:rsidRPr="00031C5F">
        <w:rPr>
          <w:rFonts w:cstheme="minorHAnsi"/>
          <w:b/>
          <w:sz w:val="16"/>
          <w:szCs w:val="16"/>
        </w:rPr>
        <w:t>COSTO-</w:t>
      </w:r>
    </w:p>
    <w:p w:rsidR="00B4362A" w:rsidRPr="0024413B" w:rsidRDefault="00B4362A" w:rsidP="00B4362A">
      <w:pPr>
        <w:pStyle w:val="Prrafodelista"/>
        <w:numPr>
          <w:ilvl w:val="0"/>
          <w:numId w:val="5"/>
        </w:numPr>
        <w:tabs>
          <w:tab w:val="left" w:pos="851"/>
        </w:tabs>
        <w:jc w:val="both"/>
        <w:rPr>
          <w:rFonts w:ascii="Lucida Calligraphy" w:hAnsi="Lucida Calligraphy" w:cstheme="minorHAnsi"/>
          <w:sz w:val="16"/>
          <w:szCs w:val="16"/>
        </w:rPr>
      </w:pPr>
      <w:r w:rsidRPr="0024413B">
        <w:rPr>
          <w:rFonts w:ascii="Lucida Calligraphy" w:hAnsi="Lucida Calligraphy" w:cstheme="minorHAnsi"/>
          <w:b/>
          <w:sz w:val="16"/>
          <w:szCs w:val="16"/>
          <w:u w:val="single"/>
        </w:rPr>
        <w:t>Pasivos a cancelar en especie</w:t>
      </w:r>
    </w:p>
    <w:p w:rsidR="00B4362A" w:rsidRPr="0024413B" w:rsidRDefault="00B4362A" w:rsidP="00B4362A">
      <w:pPr>
        <w:pStyle w:val="Prrafodelista"/>
        <w:numPr>
          <w:ilvl w:val="0"/>
          <w:numId w:val="6"/>
        </w:numPr>
        <w:tabs>
          <w:tab w:val="left" w:pos="884"/>
        </w:tabs>
        <w:ind w:left="884" w:hanging="283"/>
        <w:jc w:val="both"/>
        <w:rPr>
          <w:rFonts w:ascii="Lucida Calligraphy" w:hAnsi="Lucida Calligraphy" w:cstheme="minorHAnsi"/>
          <w:sz w:val="16"/>
          <w:szCs w:val="16"/>
        </w:rPr>
      </w:pPr>
      <w:r>
        <w:rPr>
          <w:rFonts w:ascii="Lucida Calligraphy" w:hAnsi="Lucida Calligraphy" w:cstheme="minorHAnsi"/>
          <w:sz w:val="16"/>
          <w:szCs w:val="16"/>
        </w:rPr>
        <w:t xml:space="preserve">Cuando los bienes se encuentran en existencia o puedan adquirirse al </w:t>
      </w:r>
      <w:r>
        <w:rPr>
          <w:rFonts w:ascii="Lucida Calligraphy" w:hAnsi="Lucida Calligraphy" w:cstheme="minorHAnsi"/>
          <w:b/>
          <w:sz w:val="16"/>
          <w:szCs w:val="16"/>
          <w:u w:val="single"/>
        </w:rPr>
        <w:t xml:space="preserve">costo de cancelación </w:t>
      </w:r>
      <w:r w:rsidRPr="00031C5F">
        <w:rPr>
          <w:rFonts w:ascii="Lucida Calligraphy" w:hAnsi="Lucida Calligraphy" w:cstheme="minorHAnsi"/>
          <w:b/>
          <w:sz w:val="16"/>
          <w:szCs w:val="16"/>
        </w:rPr>
        <w:t>–</w:t>
      </w:r>
      <w:r w:rsidRPr="00031C5F">
        <w:rPr>
          <w:rFonts w:cstheme="minorHAnsi"/>
          <w:b/>
          <w:sz w:val="16"/>
          <w:szCs w:val="16"/>
        </w:rPr>
        <w:t>CTE</w:t>
      </w:r>
      <w:r w:rsidRPr="00031C5F">
        <w:rPr>
          <w:rFonts w:ascii="Lucida Calligraphy" w:hAnsi="Lucida Calligraphy" w:cstheme="minorHAnsi"/>
          <w:b/>
          <w:sz w:val="16"/>
          <w:szCs w:val="16"/>
        </w:rPr>
        <w:t>-</w:t>
      </w:r>
    </w:p>
    <w:p w:rsidR="00B4362A" w:rsidRDefault="00B4362A" w:rsidP="00B4362A">
      <w:pPr>
        <w:pStyle w:val="Prrafodelista"/>
        <w:numPr>
          <w:ilvl w:val="0"/>
          <w:numId w:val="6"/>
        </w:numPr>
        <w:tabs>
          <w:tab w:val="left" w:pos="884"/>
        </w:tabs>
        <w:ind w:left="884" w:hanging="283"/>
        <w:jc w:val="both"/>
        <w:rPr>
          <w:rFonts w:ascii="Lucida Calligraphy" w:hAnsi="Lucida Calligraphy" w:cstheme="minorHAnsi"/>
          <w:sz w:val="16"/>
          <w:szCs w:val="16"/>
        </w:rPr>
      </w:pPr>
      <w:r w:rsidRPr="006E3CA2">
        <w:rPr>
          <w:rFonts w:ascii="Lucida Calligraphy" w:hAnsi="Lucida Calligraphy" w:cstheme="minorHAnsi"/>
          <w:sz w:val="16"/>
          <w:szCs w:val="16"/>
        </w:rPr>
        <w:t>Cuando los bienes deban producirse o prestar los servicios</w:t>
      </w:r>
      <w:r>
        <w:rPr>
          <w:rFonts w:ascii="Lucida Calligraphy" w:hAnsi="Lucida Calligraphy" w:cstheme="minorHAnsi"/>
          <w:sz w:val="16"/>
          <w:szCs w:val="16"/>
        </w:rPr>
        <w:t>: se tomara el mayor entre lo recibido del acreedor y el costo de cancelación</w:t>
      </w:r>
    </w:p>
    <w:p w:rsidR="00B4362A" w:rsidRDefault="00B4362A" w:rsidP="00B4362A">
      <w:pPr>
        <w:pStyle w:val="Prrafodelista"/>
        <w:tabs>
          <w:tab w:val="left" w:pos="601"/>
          <w:tab w:val="left" w:pos="1701"/>
        </w:tabs>
        <w:ind w:left="0"/>
        <w:jc w:val="both"/>
        <w:rPr>
          <w:rFonts w:ascii="Lucida Calligraphy" w:hAnsi="Lucida Calligraphy" w:cstheme="minorHAnsi"/>
          <w:sz w:val="16"/>
          <w:szCs w:val="16"/>
        </w:rPr>
      </w:pPr>
      <w:r w:rsidRPr="008B0F8A">
        <w:rPr>
          <w:rFonts w:ascii="Bradley Hand ITC" w:hAnsi="Bradley Hand ITC" w:cstheme="minorHAnsi"/>
          <w:b/>
          <w:sz w:val="20"/>
          <w:szCs w:val="20"/>
        </w:rPr>
        <w:t>Costos financieros</w:t>
      </w:r>
      <w:r>
        <w:rPr>
          <w:rFonts w:ascii="Bradley Hand ITC" w:hAnsi="Bradley Hand ITC" w:cstheme="minorHAnsi"/>
          <w:b/>
          <w:sz w:val="20"/>
          <w:szCs w:val="20"/>
        </w:rPr>
        <w:t xml:space="preserve"> –</w:t>
      </w:r>
      <w:r>
        <w:rPr>
          <w:rFonts w:ascii="Bradley Hand ITC" w:hAnsi="Bradley Hand ITC" w:cstheme="minorHAnsi"/>
          <w:b/>
          <w:sz w:val="20"/>
          <w:szCs w:val="20"/>
          <w:u w:val="single"/>
        </w:rPr>
        <w:t>relacionado con deudas</w:t>
      </w:r>
      <w:r>
        <w:rPr>
          <w:rFonts w:ascii="Bradley Hand ITC" w:hAnsi="Bradley Hand ITC" w:cstheme="minorHAnsi"/>
          <w:b/>
          <w:sz w:val="20"/>
          <w:szCs w:val="20"/>
        </w:rPr>
        <w:t xml:space="preserve">-: </w:t>
      </w:r>
      <w:r w:rsidRPr="006E3CA2">
        <w:rPr>
          <w:rFonts w:ascii="Lucida Calligraphy" w:hAnsi="Lucida Calligraphy" w:cstheme="minorHAnsi"/>
          <w:sz w:val="16"/>
          <w:szCs w:val="16"/>
        </w:rPr>
        <w:t xml:space="preserve">los intereses implícitos o explícitos por utilización de capital (pasivo) se expresan netos de la inflación </w:t>
      </w:r>
      <w:r>
        <w:rPr>
          <w:rFonts w:ascii="Lucida Calligraphy" w:hAnsi="Lucida Calligraphy" w:cstheme="minorHAnsi"/>
          <w:sz w:val="16"/>
          <w:szCs w:val="16"/>
        </w:rPr>
        <w:t>–</w:t>
      </w:r>
      <w:r>
        <w:rPr>
          <w:rFonts w:cstheme="minorHAnsi"/>
          <w:b/>
          <w:sz w:val="16"/>
          <w:szCs w:val="16"/>
        </w:rPr>
        <w:t>INTERESES REALES</w:t>
      </w:r>
      <w:r>
        <w:rPr>
          <w:rFonts w:ascii="Lucida Calligraphy" w:hAnsi="Lucida Calligraphy" w:cstheme="minorHAnsi"/>
          <w:sz w:val="16"/>
          <w:szCs w:val="16"/>
        </w:rPr>
        <w:t>-</w:t>
      </w:r>
    </w:p>
    <w:p w:rsidR="00B4362A" w:rsidRPr="00663D91" w:rsidRDefault="00B4362A" w:rsidP="00B4362A">
      <w:pPr>
        <w:tabs>
          <w:tab w:val="left" w:pos="459"/>
        </w:tabs>
        <w:jc w:val="both"/>
        <w:rPr>
          <w:b/>
          <w:szCs w:val="20"/>
        </w:rPr>
      </w:pPr>
      <w:r w:rsidRPr="00663D91">
        <w:rPr>
          <w:b/>
          <w:szCs w:val="20"/>
        </w:rPr>
        <w:t>MEDICION CONTABLE EN PARTICULAR</w:t>
      </w:r>
    </w:p>
    <w:p w:rsidR="00B4362A" w:rsidRPr="00663D91" w:rsidRDefault="00B4362A" w:rsidP="00B4362A">
      <w:pPr>
        <w:tabs>
          <w:tab w:val="left" w:pos="459"/>
        </w:tabs>
        <w:jc w:val="both"/>
        <w:rPr>
          <w:rFonts w:ascii="Lucida Calligraphy" w:hAnsi="Lucida Calligraphy" w:cstheme="minorHAnsi"/>
          <w:b/>
          <w:sz w:val="16"/>
          <w:szCs w:val="16"/>
          <w:u w:val="single"/>
        </w:rPr>
      </w:pPr>
      <w:r w:rsidRPr="00663D91">
        <w:rPr>
          <w:rFonts w:ascii="Lucida Calligraphy" w:hAnsi="Lucida Calligraphy" w:cstheme="minorHAnsi"/>
          <w:sz w:val="16"/>
          <w:szCs w:val="16"/>
        </w:rPr>
        <w:t xml:space="preserve">Se consideraran los limites por comparación con </w:t>
      </w:r>
      <w:r w:rsidRPr="00663D91">
        <w:rPr>
          <w:rFonts w:ascii="Lucida Calligraphy" w:hAnsi="Lucida Calligraphy" w:cstheme="minorHAnsi"/>
          <w:b/>
          <w:sz w:val="16"/>
          <w:szCs w:val="16"/>
          <w:u w:val="single"/>
        </w:rPr>
        <w:t>valores  recuperables</w:t>
      </w:r>
    </w:p>
    <w:p w:rsidR="00B4362A" w:rsidRDefault="00B4362A" w:rsidP="00B4362A">
      <w:pPr>
        <w:pStyle w:val="Prrafodelista"/>
        <w:numPr>
          <w:ilvl w:val="0"/>
          <w:numId w:val="5"/>
        </w:numPr>
        <w:ind w:left="426" w:hanging="426"/>
        <w:rPr>
          <w:rFonts w:cstheme="minorHAnsi"/>
          <w:b/>
          <w:sz w:val="20"/>
          <w:szCs w:val="20"/>
        </w:rPr>
      </w:pPr>
      <w:r w:rsidRPr="00721FD8">
        <w:rPr>
          <w:rFonts w:cstheme="minorHAnsi"/>
          <w:b/>
          <w:sz w:val="20"/>
          <w:szCs w:val="20"/>
        </w:rPr>
        <w:lastRenderedPageBreak/>
        <w:t>Pasivos en Moneda</w:t>
      </w:r>
      <w:r>
        <w:rPr>
          <w:rFonts w:cstheme="minorHAnsi"/>
          <w:b/>
          <w:sz w:val="20"/>
          <w:szCs w:val="20"/>
        </w:rPr>
        <w:t xml:space="preserve"> (originado en la compra de bienes o servicios, refinanciaciones y operaciones financieras)</w:t>
      </w:r>
    </w:p>
    <w:p w:rsidR="00B4362A" w:rsidRDefault="00B4362A" w:rsidP="00B4362A">
      <w:pPr>
        <w:pStyle w:val="Prrafodelista"/>
        <w:tabs>
          <w:tab w:val="left" w:pos="459"/>
        </w:tabs>
        <w:ind w:left="0"/>
        <w:rPr>
          <w:rFonts w:ascii="Lucida Calligraphy" w:hAnsi="Lucida Calligraphy" w:cstheme="minorHAnsi"/>
          <w:sz w:val="16"/>
          <w:szCs w:val="16"/>
        </w:rPr>
      </w:pPr>
      <w:r w:rsidRPr="00761015">
        <w:rPr>
          <w:rFonts w:ascii="Lucida Calligraphy" w:hAnsi="Lucida Calligraphy" w:cstheme="minorHAnsi"/>
          <w:sz w:val="16"/>
          <w:szCs w:val="16"/>
        </w:rPr>
        <w:t>Se considerara la posibilidad e intención de cancelación anticipada</w:t>
      </w:r>
      <w:r>
        <w:rPr>
          <w:rFonts w:ascii="Lucida Calligraphy" w:hAnsi="Lucida Calligraphy" w:cstheme="minorHAnsi"/>
          <w:sz w:val="16"/>
          <w:szCs w:val="16"/>
        </w:rPr>
        <w:t>.</w:t>
      </w:r>
    </w:p>
    <w:p w:rsidR="00B4362A" w:rsidRDefault="00B4362A" w:rsidP="00B4362A">
      <w:pPr>
        <w:pStyle w:val="Prrafodelista"/>
        <w:tabs>
          <w:tab w:val="left" w:pos="459"/>
        </w:tabs>
        <w:ind w:left="0"/>
        <w:rPr>
          <w:rFonts w:ascii="Lucida Calligraphy" w:hAnsi="Lucida Calligraphy" w:cstheme="minorHAnsi"/>
          <w:sz w:val="16"/>
          <w:szCs w:val="16"/>
        </w:rPr>
      </w:pPr>
      <w:r>
        <w:rPr>
          <w:rFonts w:ascii="Lucida Calligraphy" w:hAnsi="Lucida Calligraphy" w:cstheme="minorHAnsi"/>
          <w:sz w:val="16"/>
          <w:szCs w:val="16"/>
        </w:rPr>
        <w:t xml:space="preserve">Si el ente </w:t>
      </w:r>
      <w:r>
        <w:rPr>
          <w:rFonts w:ascii="Lucida Calligraphy" w:hAnsi="Lucida Calligraphy" w:cstheme="minorHAnsi"/>
          <w:b/>
          <w:sz w:val="16"/>
          <w:szCs w:val="16"/>
        </w:rPr>
        <w:t>no</w:t>
      </w:r>
      <w:r>
        <w:rPr>
          <w:rFonts w:ascii="Lucida Calligraphy" w:hAnsi="Lucida Calligraphy" w:cstheme="minorHAnsi"/>
          <w:sz w:val="16"/>
          <w:szCs w:val="16"/>
        </w:rPr>
        <w:t xml:space="preserve"> esta en condiciones de cancelar anticipadamente o </w:t>
      </w:r>
      <w:r>
        <w:rPr>
          <w:rFonts w:ascii="Lucida Calligraphy" w:hAnsi="Lucida Calligraphy" w:cstheme="minorHAnsi"/>
          <w:b/>
          <w:sz w:val="16"/>
          <w:szCs w:val="16"/>
        </w:rPr>
        <w:t xml:space="preserve">no </w:t>
      </w:r>
      <w:r>
        <w:rPr>
          <w:rFonts w:ascii="Lucida Calligraphy" w:hAnsi="Lucida Calligraphy" w:cstheme="minorHAnsi"/>
          <w:sz w:val="16"/>
          <w:szCs w:val="16"/>
        </w:rPr>
        <w:t>tiene intención de hacerlo:</w:t>
      </w:r>
    </w:p>
    <w:p w:rsidR="00B4362A" w:rsidRDefault="00B4362A" w:rsidP="00B4362A">
      <w:pPr>
        <w:pStyle w:val="Prrafodelista"/>
        <w:numPr>
          <w:ilvl w:val="0"/>
          <w:numId w:val="8"/>
        </w:numPr>
        <w:tabs>
          <w:tab w:val="left" w:pos="459"/>
        </w:tabs>
        <w:spacing w:after="0" w:line="240" w:lineRule="auto"/>
        <w:rPr>
          <w:rFonts w:ascii="Lucida Calligraphy" w:hAnsi="Lucida Calligraphy" w:cstheme="minorHAnsi"/>
          <w:sz w:val="16"/>
          <w:szCs w:val="16"/>
        </w:rPr>
      </w:pPr>
      <w:r>
        <w:rPr>
          <w:rFonts w:ascii="Lucida Calligraphy" w:hAnsi="Lucida Calligraphy" w:cstheme="minorHAnsi"/>
          <w:sz w:val="16"/>
          <w:szCs w:val="16"/>
        </w:rPr>
        <w:t>A su medición original, mas la porción devengada menos los pagos efectuados. En caso de existir clausulas de actualización se consideraran su efecto.</w:t>
      </w:r>
    </w:p>
    <w:p w:rsidR="00B4362A" w:rsidRPr="00761015" w:rsidRDefault="00B4362A" w:rsidP="00B4362A">
      <w:pPr>
        <w:tabs>
          <w:tab w:val="left" w:pos="459"/>
        </w:tabs>
        <w:ind w:left="34"/>
        <w:jc w:val="both"/>
        <w:rPr>
          <w:rFonts w:ascii="Lucida Calligraphy" w:hAnsi="Lucida Calligraphy" w:cstheme="minorHAnsi"/>
          <w:sz w:val="16"/>
          <w:szCs w:val="16"/>
        </w:rPr>
      </w:pPr>
      <w:r>
        <w:rPr>
          <w:rFonts w:ascii="Lucida Calligraphy" w:hAnsi="Lucida Calligraphy" w:cstheme="minorHAnsi"/>
          <w:sz w:val="16"/>
          <w:szCs w:val="16"/>
        </w:rPr>
        <w:t xml:space="preserve">Si el ente esta en condiciones financieras de cancelar anticipadamente y hechos posteriores revelaran su conducta operativa en ese sentido, se valuara a su valor descontado de la deuda calculando la tasa que el acreedor aceptaría para recibir su pago anticipado. </w:t>
      </w:r>
      <w:r w:rsidRPr="00761015">
        <w:rPr>
          <w:rFonts w:cstheme="minorHAnsi"/>
          <w:b/>
          <w:sz w:val="16"/>
          <w:szCs w:val="16"/>
        </w:rPr>
        <w:t>–</w:t>
      </w:r>
      <w:r>
        <w:rPr>
          <w:rFonts w:cstheme="minorHAnsi"/>
          <w:b/>
          <w:sz w:val="16"/>
          <w:szCs w:val="16"/>
        </w:rPr>
        <w:t>CTE</w:t>
      </w:r>
      <w:r w:rsidRPr="00761015">
        <w:rPr>
          <w:rFonts w:cstheme="minorHAnsi"/>
          <w:b/>
          <w:sz w:val="16"/>
          <w:szCs w:val="16"/>
        </w:rPr>
        <w:t>-</w:t>
      </w:r>
    </w:p>
    <w:p w:rsidR="00B4362A" w:rsidRPr="00A6746B" w:rsidRDefault="00B4362A" w:rsidP="00B4362A">
      <w:pPr>
        <w:pStyle w:val="Prrafodelista"/>
        <w:numPr>
          <w:ilvl w:val="0"/>
          <w:numId w:val="5"/>
        </w:numPr>
        <w:spacing w:after="0" w:line="240" w:lineRule="auto"/>
        <w:ind w:left="426" w:hanging="426"/>
        <w:jc w:val="both"/>
        <w:rPr>
          <w:rFonts w:cstheme="minorHAnsi"/>
          <w:b/>
          <w:sz w:val="20"/>
          <w:szCs w:val="20"/>
        </w:rPr>
      </w:pPr>
      <w:r w:rsidRPr="00721FD8">
        <w:rPr>
          <w:rFonts w:cstheme="minorHAnsi"/>
          <w:b/>
          <w:sz w:val="20"/>
          <w:szCs w:val="20"/>
        </w:rPr>
        <w:t>Otros pasivos en moneda</w:t>
      </w:r>
      <w:r>
        <w:rPr>
          <w:rFonts w:cstheme="minorHAnsi"/>
          <w:b/>
          <w:sz w:val="20"/>
          <w:szCs w:val="20"/>
        </w:rPr>
        <w:t xml:space="preserve"> </w:t>
      </w:r>
      <w:r>
        <w:rPr>
          <w:rFonts w:ascii="Lucida Calligraphy" w:hAnsi="Lucida Calligraphy" w:cstheme="minorHAnsi"/>
          <w:sz w:val="16"/>
          <w:szCs w:val="16"/>
        </w:rPr>
        <w:t xml:space="preserve">Si el ente esta en condiciones financieras de cancelar anticipadamente y hechos posteriores revelaran su conducta operativa en ese sentido, se valuara a su valor descontado de la deuda calculando la tasa que el acreedor aceptaría para recibir su pago anticipado. </w:t>
      </w:r>
      <w:r w:rsidRPr="00761015">
        <w:rPr>
          <w:rFonts w:cstheme="minorHAnsi"/>
          <w:b/>
          <w:sz w:val="16"/>
          <w:szCs w:val="16"/>
        </w:rPr>
        <w:t>–</w:t>
      </w:r>
      <w:r>
        <w:rPr>
          <w:rFonts w:cstheme="minorHAnsi"/>
          <w:b/>
          <w:sz w:val="16"/>
          <w:szCs w:val="16"/>
        </w:rPr>
        <w:t>CTE</w:t>
      </w:r>
      <w:r w:rsidRPr="00761015">
        <w:rPr>
          <w:rFonts w:cstheme="minorHAnsi"/>
          <w:b/>
          <w:sz w:val="16"/>
          <w:szCs w:val="16"/>
        </w:rPr>
        <w:t>-</w:t>
      </w:r>
    </w:p>
    <w:p w:rsidR="00B4362A" w:rsidRDefault="00B4362A" w:rsidP="00B4362A">
      <w:pPr>
        <w:tabs>
          <w:tab w:val="left" w:pos="459"/>
        </w:tabs>
        <w:rPr>
          <w:rFonts w:ascii="Lucida Calligraphy" w:hAnsi="Lucida Calligraphy" w:cstheme="minorHAnsi"/>
          <w:sz w:val="16"/>
          <w:szCs w:val="16"/>
        </w:rPr>
      </w:pPr>
      <w:r w:rsidRPr="008B50EA">
        <w:rPr>
          <w:rFonts w:ascii="Lucida Calligraphy" w:hAnsi="Lucida Calligraphy" w:cstheme="minorHAnsi"/>
          <w:sz w:val="16"/>
          <w:szCs w:val="16"/>
        </w:rPr>
        <w:t>En los restantes casos</w:t>
      </w:r>
      <w:r w:rsidRPr="008B50EA">
        <w:rPr>
          <w:rFonts w:cstheme="minorHAnsi"/>
          <w:b/>
          <w:szCs w:val="20"/>
        </w:rPr>
        <w:t xml:space="preserve"> </w:t>
      </w:r>
      <w:r>
        <w:rPr>
          <w:rFonts w:ascii="Lucida Calligraphy" w:hAnsi="Lucida Calligraphy" w:cstheme="minorHAnsi"/>
          <w:sz w:val="16"/>
          <w:szCs w:val="16"/>
        </w:rPr>
        <w:t>a</w:t>
      </w:r>
      <w:r w:rsidRPr="008B50EA">
        <w:rPr>
          <w:rFonts w:ascii="Lucida Calligraphy" w:hAnsi="Lucida Calligraphy" w:cstheme="minorHAnsi"/>
          <w:sz w:val="16"/>
          <w:szCs w:val="16"/>
        </w:rPr>
        <w:t xml:space="preserve"> su medición original, mas la porción devengada menos los pagos efectuados. En caso de existir clausulas de actualización se consideraran su efecto.</w:t>
      </w:r>
    </w:p>
    <w:p w:rsidR="00B4362A" w:rsidRPr="00316C63" w:rsidRDefault="00B4362A" w:rsidP="00B4362A">
      <w:pPr>
        <w:pStyle w:val="Prrafodelista"/>
        <w:tabs>
          <w:tab w:val="left" w:pos="601"/>
          <w:tab w:val="left" w:pos="1701"/>
        </w:tabs>
        <w:ind w:left="0"/>
        <w:rPr>
          <w:rFonts w:ascii="Bradley Hand ITC" w:hAnsi="Bradley Hand ITC" w:cstheme="minorHAnsi"/>
          <w:b/>
          <w:sz w:val="20"/>
          <w:szCs w:val="20"/>
        </w:rPr>
      </w:pPr>
      <w:r w:rsidRPr="008B0F8A">
        <w:rPr>
          <w:rFonts w:ascii="Bradley Hand ITC" w:hAnsi="Bradley Hand ITC" w:cstheme="minorHAnsi"/>
          <w:b/>
          <w:sz w:val="20"/>
          <w:szCs w:val="20"/>
        </w:rPr>
        <w:t>Costos financieros</w:t>
      </w:r>
      <w:r>
        <w:rPr>
          <w:rFonts w:ascii="Bradley Hand ITC" w:hAnsi="Bradley Hand ITC" w:cstheme="minorHAnsi"/>
          <w:b/>
          <w:sz w:val="20"/>
          <w:szCs w:val="20"/>
        </w:rPr>
        <w:t xml:space="preserve"> –</w:t>
      </w:r>
      <w:r>
        <w:rPr>
          <w:rFonts w:ascii="Bradley Hand ITC" w:hAnsi="Bradley Hand ITC" w:cstheme="minorHAnsi"/>
          <w:b/>
          <w:sz w:val="20"/>
          <w:szCs w:val="20"/>
          <w:u w:val="single"/>
        </w:rPr>
        <w:t>relacionado con deudas</w:t>
      </w:r>
      <w:r>
        <w:rPr>
          <w:rFonts w:ascii="Bradley Hand ITC" w:hAnsi="Bradley Hand ITC" w:cstheme="minorHAnsi"/>
          <w:b/>
          <w:sz w:val="20"/>
          <w:szCs w:val="20"/>
        </w:rPr>
        <w:t xml:space="preserve">-: </w:t>
      </w:r>
      <w:r w:rsidRPr="006E3CA2">
        <w:rPr>
          <w:rFonts w:ascii="Lucida Calligraphy" w:hAnsi="Lucida Calligraphy" w:cstheme="minorHAnsi"/>
          <w:sz w:val="16"/>
          <w:szCs w:val="16"/>
        </w:rPr>
        <w:t xml:space="preserve">los intereses implícitos o explícitos por utilización de capital (pasivo) se expresan netos de la inflación </w:t>
      </w:r>
      <w:r>
        <w:rPr>
          <w:rFonts w:ascii="Lucida Calligraphy" w:hAnsi="Lucida Calligraphy" w:cstheme="minorHAnsi"/>
          <w:sz w:val="16"/>
          <w:szCs w:val="16"/>
        </w:rPr>
        <w:t>–</w:t>
      </w:r>
      <w:r>
        <w:rPr>
          <w:rFonts w:cstheme="minorHAnsi"/>
          <w:b/>
          <w:sz w:val="16"/>
          <w:szCs w:val="16"/>
        </w:rPr>
        <w:t>INTERESES REALES</w:t>
      </w:r>
      <w:r>
        <w:rPr>
          <w:rFonts w:ascii="Lucida Calligraphy" w:hAnsi="Lucida Calligraphy" w:cstheme="minorHAnsi"/>
          <w:sz w:val="16"/>
          <w:szCs w:val="16"/>
        </w:rPr>
        <w:t>-</w:t>
      </w:r>
    </w:p>
    <w:p w:rsidR="00B4362A" w:rsidRPr="00C97621" w:rsidRDefault="00B4362A" w:rsidP="00B4362A">
      <w:pPr>
        <w:pStyle w:val="Prrafodelista"/>
        <w:numPr>
          <w:ilvl w:val="0"/>
          <w:numId w:val="3"/>
        </w:numPr>
        <w:tabs>
          <w:tab w:val="left" w:pos="601"/>
          <w:tab w:val="left" w:pos="884"/>
        </w:tabs>
        <w:jc w:val="both"/>
        <w:rPr>
          <w:rFonts w:ascii="Bradley Hand ITC" w:hAnsi="Bradley Hand ITC" w:cstheme="minorHAnsi"/>
          <w:b/>
          <w:sz w:val="20"/>
          <w:szCs w:val="20"/>
        </w:rPr>
      </w:pPr>
      <w:r w:rsidRPr="00C97621">
        <w:rPr>
          <w:rFonts w:ascii="Bradley Hand ITC" w:hAnsi="Bradley Hand ITC" w:cstheme="minorHAnsi"/>
          <w:b/>
          <w:sz w:val="20"/>
          <w:szCs w:val="20"/>
        </w:rPr>
        <w:t xml:space="preserve">Tratamiento preferible: </w:t>
      </w:r>
      <w:r w:rsidRPr="00C97621">
        <w:rPr>
          <w:rFonts w:ascii="Lucida Calligraphy" w:hAnsi="Lucida Calligraphy" w:cstheme="minorHAnsi"/>
          <w:sz w:val="16"/>
          <w:szCs w:val="16"/>
        </w:rPr>
        <w:t>se reconocerán como gastos del periodo que se devengan</w:t>
      </w:r>
    </w:p>
    <w:p w:rsidR="00B4362A" w:rsidRPr="00C97621" w:rsidRDefault="00B4362A" w:rsidP="00B4362A">
      <w:pPr>
        <w:pStyle w:val="Prrafodelista"/>
        <w:numPr>
          <w:ilvl w:val="0"/>
          <w:numId w:val="3"/>
        </w:numPr>
        <w:tabs>
          <w:tab w:val="left" w:pos="601"/>
          <w:tab w:val="left" w:pos="1310"/>
        </w:tabs>
        <w:jc w:val="both"/>
        <w:rPr>
          <w:rFonts w:ascii="Bradley Hand ITC" w:hAnsi="Bradley Hand ITC" w:cstheme="minorHAnsi"/>
          <w:b/>
          <w:szCs w:val="20"/>
        </w:rPr>
      </w:pPr>
      <w:r w:rsidRPr="00C97621">
        <w:rPr>
          <w:rFonts w:ascii="Bradley Hand ITC" w:hAnsi="Bradley Hand ITC" w:cstheme="minorHAnsi"/>
          <w:b/>
          <w:szCs w:val="20"/>
        </w:rPr>
        <w:t>Tratamiento alternativo permitido</w:t>
      </w:r>
      <w:r w:rsidRPr="00C97621">
        <w:rPr>
          <w:rFonts w:ascii="Lucida Calligraphy" w:hAnsi="Lucida Calligraphy" w:cstheme="minorHAnsi"/>
          <w:sz w:val="16"/>
          <w:szCs w:val="16"/>
        </w:rPr>
        <w:t>: podrán activarse cuando:</w:t>
      </w:r>
    </w:p>
    <w:p w:rsidR="00B4362A" w:rsidRPr="00316C63" w:rsidRDefault="00B4362A" w:rsidP="00B4362A">
      <w:pPr>
        <w:pStyle w:val="Prrafodelista"/>
        <w:numPr>
          <w:ilvl w:val="0"/>
          <w:numId w:val="2"/>
        </w:numPr>
        <w:tabs>
          <w:tab w:val="left" w:pos="884"/>
          <w:tab w:val="left" w:pos="1310"/>
        </w:tabs>
        <w:ind w:left="993" w:hanging="425"/>
        <w:jc w:val="both"/>
        <w:rPr>
          <w:rFonts w:ascii="Lucida Calligraphy" w:hAnsi="Lucida Calligraphy" w:cstheme="minorHAnsi"/>
          <w:sz w:val="16"/>
          <w:szCs w:val="16"/>
        </w:rPr>
      </w:pPr>
      <w:r w:rsidRPr="00316C63">
        <w:rPr>
          <w:rFonts w:ascii="Lucida Calligraphy" w:hAnsi="Lucida Calligraphy" w:cstheme="minorHAnsi"/>
          <w:sz w:val="16"/>
          <w:szCs w:val="16"/>
        </w:rPr>
        <w:t>Activo en producción prolongada</w:t>
      </w:r>
    </w:p>
    <w:p w:rsidR="00B4362A" w:rsidRPr="00316C63" w:rsidRDefault="00B4362A" w:rsidP="00B4362A">
      <w:pPr>
        <w:pStyle w:val="Prrafodelista"/>
        <w:numPr>
          <w:ilvl w:val="0"/>
          <w:numId w:val="2"/>
        </w:numPr>
        <w:tabs>
          <w:tab w:val="left" w:pos="884"/>
          <w:tab w:val="left" w:pos="1310"/>
        </w:tabs>
        <w:ind w:left="993" w:hanging="425"/>
        <w:jc w:val="both"/>
        <w:rPr>
          <w:rFonts w:ascii="Lucida Calligraphy" w:hAnsi="Lucida Calligraphy" w:cstheme="minorHAnsi"/>
          <w:sz w:val="16"/>
          <w:szCs w:val="16"/>
        </w:rPr>
      </w:pPr>
      <w:r w:rsidRPr="00316C63">
        <w:rPr>
          <w:rFonts w:ascii="Lucida Calligraphy" w:hAnsi="Lucida Calligraphy" w:cstheme="minorHAnsi"/>
          <w:sz w:val="16"/>
          <w:szCs w:val="16"/>
        </w:rPr>
        <w:t>El proceso no está interrumpido o si es así en forma temporaria</w:t>
      </w:r>
    </w:p>
    <w:p w:rsidR="00B4362A" w:rsidRPr="00316C63" w:rsidRDefault="00B4362A" w:rsidP="00B4362A">
      <w:pPr>
        <w:pStyle w:val="Prrafodelista"/>
        <w:numPr>
          <w:ilvl w:val="0"/>
          <w:numId w:val="2"/>
        </w:numPr>
        <w:tabs>
          <w:tab w:val="left" w:pos="884"/>
          <w:tab w:val="left" w:pos="1310"/>
        </w:tabs>
        <w:ind w:left="993" w:hanging="425"/>
        <w:jc w:val="both"/>
        <w:rPr>
          <w:rFonts w:ascii="Lucida Calligraphy" w:hAnsi="Lucida Calligraphy" w:cstheme="minorHAnsi"/>
          <w:sz w:val="16"/>
          <w:szCs w:val="16"/>
        </w:rPr>
      </w:pPr>
      <w:r w:rsidRPr="00316C63">
        <w:rPr>
          <w:rFonts w:ascii="Lucida Calligraphy" w:hAnsi="Lucida Calligraphy" w:cstheme="minorHAnsi"/>
          <w:sz w:val="16"/>
          <w:szCs w:val="16"/>
        </w:rPr>
        <w:t>Este proceso no excede el técnicamente requerido</w:t>
      </w:r>
    </w:p>
    <w:p w:rsidR="00B4362A" w:rsidRPr="00316C63" w:rsidRDefault="00B4362A" w:rsidP="00B4362A">
      <w:pPr>
        <w:pStyle w:val="Prrafodelista"/>
        <w:numPr>
          <w:ilvl w:val="0"/>
          <w:numId w:val="2"/>
        </w:numPr>
        <w:tabs>
          <w:tab w:val="left" w:pos="884"/>
          <w:tab w:val="left" w:pos="1310"/>
        </w:tabs>
        <w:ind w:left="993" w:hanging="425"/>
        <w:jc w:val="both"/>
        <w:rPr>
          <w:rFonts w:ascii="Lucida Calligraphy" w:hAnsi="Lucida Calligraphy" w:cstheme="minorHAnsi"/>
          <w:sz w:val="16"/>
          <w:szCs w:val="16"/>
        </w:rPr>
      </w:pPr>
      <w:r w:rsidRPr="00316C63">
        <w:rPr>
          <w:rFonts w:ascii="Lucida Calligraphy" w:hAnsi="Lucida Calligraphy" w:cstheme="minorHAnsi"/>
          <w:sz w:val="16"/>
          <w:szCs w:val="16"/>
        </w:rPr>
        <w:t>El procedo de pro</w:t>
      </w:r>
      <w:r>
        <w:rPr>
          <w:rFonts w:ascii="Lucida Calligraphy" w:hAnsi="Lucida Calligraphy" w:cstheme="minorHAnsi"/>
          <w:sz w:val="16"/>
          <w:szCs w:val="16"/>
        </w:rPr>
        <w:t>d</w:t>
      </w:r>
      <w:r w:rsidRPr="00316C63">
        <w:rPr>
          <w:rFonts w:ascii="Lucida Calligraphy" w:hAnsi="Lucida Calligraphy" w:cstheme="minorHAnsi"/>
          <w:sz w:val="16"/>
          <w:szCs w:val="16"/>
        </w:rPr>
        <w:t>ucción no está completo, y</w:t>
      </w:r>
    </w:p>
    <w:p w:rsidR="00B4362A" w:rsidRDefault="00B4362A" w:rsidP="00B4362A">
      <w:pPr>
        <w:pStyle w:val="Prrafodelista"/>
        <w:numPr>
          <w:ilvl w:val="0"/>
          <w:numId w:val="2"/>
        </w:numPr>
        <w:tabs>
          <w:tab w:val="left" w:pos="884"/>
          <w:tab w:val="left" w:pos="1310"/>
        </w:tabs>
        <w:spacing w:after="0" w:line="240" w:lineRule="auto"/>
        <w:ind w:left="993" w:hanging="425"/>
        <w:jc w:val="both"/>
        <w:rPr>
          <w:rFonts w:ascii="Lucida Calligraphy" w:hAnsi="Lucida Calligraphy" w:cstheme="minorHAnsi"/>
          <w:sz w:val="16"/>
          <w:szCs w:val="16"/>
        </w:rPr>
      </w:pPr>
      <w:r w:rsidRPr="00316C63">
        <w:rPr>
          <w:rFonts w:ascii="Lucida Calligraphy" w:hAnsi="Lucida Calligraphy" w:cstheme="minorHAnsi"/>
          <w:sz w:val="16"/>
          <w:szCs w:val="16"/>
        </w:rPr>
        <w:t>El activo no está en condiciones de ser vendido.</w:t>
      </w:r>
    </w:p>
    <w:p w:rsidR="00B4362A" w:rsidRDefault="00B4362A" w:rsidP="00B4362A">
      <w:pPr>
        <w:tabs>
          <w:tab w:val="left" w:pos="884"/>
          <w:tab w:val="left" w:pos="1310"/>
        </w:tabs>
        <w:ind w:left="601" w:hanging="425"/>
        <w:jc w:val="both"/>
        <w:rPr>
          <w:rFonts w:ascii="Lucida Calligraphy" w:hAnsi="Lucida Calligraphy" w:cstheme="minorHAnsi"/>
          <w:sz w:val="16"/>
          <w:szCs w:val="16"/>
        </w:rPr>
      </w:pPr>
      <w:r>
        <w:rPr>
          <w:rFonts w:ascii="Lucida Calligraphy" w:hAnsi="Lucida Calligraphy" w:cstheme="minorHAnsi"/>
          <w:sz w:val="16"/>
          <w:szCs w:val="16"/>
        </w:rPr>
        <w:t>El monto de costo financiero puede provenir de capital propio invertido</w:t>
      </w:r>
    </w:p>
    <w:p w:rsidR="00B4362A" w:rsidRDefault="00B4362A" w:rsidP="00B4362A">
      <w:pPr>
        <w:pStyle w:val="Prrafodelista"/>
        <w:numPr>
          <w:ilvl w:val="0"/>
          <w:numId w:val="7"/>
        </w:numPr>
        <w:tabs>
          <w:tab w:val="left" w:pos="884"/>
          <w:tab w:val="left" w:pos="1310"/>
        </w:tabs>
        <w:spacing w:after="0" w:line="240" w:lineRule="auto"/>
        <w:ind w:left="851" w:hanging="284"/>
        <w:jc w:val="both"/>
        <w:rPr>
          <w:rFonts w:ascii="Lucida Calligraphy" w:hAnsi="Lucida Calligraphy" w:cstheme="minorHAnsi"/>
          <w:sz w:val="16"/>
          <w:szCs w:val="16"/>
        </w:rPr>
      </w:pPr>
      <w:r>
        <w:rPr>
          <w:rFonts w:ascii="Lucida Calligraphy" w:hAnsi="Lucida Calligraphy" w:cstheme="minorHAnsi"/>
          <w:sz w:val="16"/>
          <w:szCs w:val="16"/>
        </w:rPr>
        <w:t>1ero los provenientes de capital de tercero y después los cap propio</w:t>
      </w:r>
    </w:p>
    <w:p w:rsidR="00B4362A" w:rsidRDefault="00B4362A" w:rsidP="00B4362A">
      <w:pPr>
        <w:pStyle w:val="Prrafodelista"/>
        <w:numPr>
          <w:ilvl w:val="0"/>
          <w:numId w:val="7"/>
        </w:numPr>
        <w:tabs>
          <w:tab w:val="left" w:pos="884"/>
          <w:tab w:val="left" w:pos="1310"/>
        </w:tabs>
        <w:spacing w:after="0" w:line="240" w:lineRule="auto"/>
        <w:ind w:left="851" w:hanging="284"/>
        <w:jc w:val="both"/>
        <w:rPr>
          <w:rFonts w:ascii="Lucida Calligraphy" w:hAnsi="Lucida Calligraphy" w:cstheme="minorHAnsi"/>
          <w:sz w:val="16"/>
          <w:szCs w:val="16"/>
        </w:rPr>
      </w:pPr>
      <w:r>
        <w:rPr>
          <w:rFonts w:ascii="Lucida Calligraphy" w:hAnsi="Lucida Calligraphy" w:cstheme="minorHAnsi"/>
          <w:sz w:val="16"/>
          <w:szCs w:val="16"/>
        </w:rPr>
        <w:t>Si el activo se mide en valor cte no se puede tomar el costo financiero de la financiación</w:t>
      </w:r>
    </w:p>
    <w:p w:rsidR="00B4362A" w:rsidRDefault="00B4362A" w:rsidP="00B4362A">
      <w:pPr>
        <w:pStyle w:val="Prrafodelista"/>
        <w:numPr>
          <w:ilvl w:val="0"/>
          <w:numId w:val="7"/>
        </w:numPr>
        <w:tabs>
          <w:tab w:val="left" w:pos="884"/>
          <w:tab w:val="left" w:pos="1310"/>
        </w:tabs>
        <w:spacing w:after="0" w:line="240" w:lineRule="auto"/>
        <w:ind w:left="851" w:hanging="284"/>
        <w:jc w:val="both"/>
        <w:rPr>
          <w:rFonts w:ascii="Lucida Calligraphy" w:hAnsi="Lucida Calligraphy" w:cstheme="minorHAnsi"/>
          <w:sz w:val="16"/>
          <w:szCs w:val="16"/>
        </w:rPr>
      </w:pPr>
      <w:r>
        <w:rPr>
          <w:rFonts w:ascii="Lucida Calligraphy" w:hAnsi="Lucida Calligraphy" w:cstheme="minorHAnsi"/>
          <w:sz w:val="16"/>
          <w:szCs w:val="16"/>
        </w:rPr>
        <w:t>La tasa real (sin componentes de inflación) representativa vigente</w:t>
      </w:r>
    </w:p>
    <w:p w:rsidR="00B4362A" w:rsidRPr="0024413B" w:rsidRDefault="00B4362A" w:rsidP="00B4362A">
      <w:pPr>
        <w:tabs>
          <w:tab w:val="left" w:pos="884"/>
          <w:tab w:val="left" w:pos="1310"/>
        </w:tabs>
        <w:ind w:left="567"/>
        <w:jc w:val="both"/>
        <w:rPr>
          <w:rFonts w:ascii="Lucida Calligraphy" w:hAnsi="Lucida Calligraphy" w:cstheme="minorHAnsi"/>
          <w:sz w:val="16"/>
          <w:szCs w:val="16"/>
        </w:rPr>
      </w:pPr>
      <w:r w:rsidRPr="0024413B">
        <w:rPr>
          <w:rFonts w:ascii="Lucida Calligraphy" w:hAnsi="Lucida Calligraphy" w:cstheme="minorHAnsi"/>
          <w:sz w:val="16"/>
          <w:szCs w:val="16"/>
        </w:rPr>
        <w:t>Al activarlos se expondrá dentro del estado de resultados después de los resultados financieros con la denominación “interés del cap propio”</w:t>
      </w:r>
    </w:p>
    <w:p w:rsidR="00B4362A" w:rsidRPr="00333F4A" w:rsidRDefault="00B4362A" w:rsidP="00B4362A">
      <w:pPr>
        <w:pStyle w:val="Prrafodelista"/>
        <w:numPr>
          <w:ilvl w:val="0"/>
          <w:numId w:val="5"/>
        </w:numPr>
        <w:tabs>
          <w:tab w:val="left" w:pos="851"/>
        </w:tabs>
        <w:jc w:val="both"/>
        <w:rPr>
          <w:rFonts w:ascii="Lucida Calligraphy" w:hAnsi="Lucida Calligraphy" w:cstheme="minorHAnsi"/>
          <w:sz w:val="16"/>
          <w:szCs w:val="16"/>
        </w:rPr>
      </w:pPr>
      <w:r w:rsidRPr="0024413B">
        <w:rPr>
          <w:rFonts w:ascii="Bradley Hand ITC" w:hAnsi="Bradley Hand ITC" w:cstheme="minorHAnsi"/>
          <w:b/>
          <w:sz w:val="20"/>
          <w:szCs w:val="20"/>
        </w:rPr>
        <w:t xml:space="preserve">Costos de cancelación : </w:t>
      </w:r>
      <w:r w:rsidRPr="0024413B">
        <w:rPr>
          <w:rFonts w:ascii="Lucida Calligraphy" w:hAnsi="Lucida Calligraphy" w:cstheme="minorHAnsi"/>
          <w:sz w:val="16"/>
          <w:szCs w:val="16"/>
        </w:rPr>
        <w:t>El costo de cancelación de una obligación es la suma de todos los costos necesarios para liberarse de ella</w:t>
      </w:r>
      <w:r w:rsidRPr="0024413B">
        <w:rPr>
          <w:rFonts w:ascii="Bradley Hand ITC" w:hAnsi="Bradley Hand ITC" w:cstheme="minorHAnsi"/>
          <w:b/>
          <w:sz w:val="20"/>
          <w:szCs w:val="20"/>
        </w:rPr>
        <w:t xml:space="preserve"> </w:t>
      </w:r>
    </w:p>
    <w:p w:rsidR="00B4362A" w:rsidRDefault="00B4362A" w:rsidP="00B4362A">
      <w:pPr>
        <w:pStyle w:val="Prrafodelista"/>
        <w:numPr>
          <w:ilvl w:val="0"/>
          <w:numId w:val="5"/>
        </w:numPr>
        <w:spacing w:after="0" w:line="240" w:lineRule="auto"/>
        <w:ind w:left="426" w:hanging="426"/>
        <w:jc w:val="both"/>
        <w:rPr>
          <w:rFonts w:cstheme="minorHAnsi"/>
          <w:b/>
          <w:sz w:val="20"/>
          <w:szCs w:val="20"/>
        </w:rPr>
      </w:pPr>
      <w:r w:rsidRPr="00721FD8">
        <w:rPr>
          <w:rFonts w:cstheme="minorHAnsi"/>
          <w:b/>
          <w:sz w:val="20"/>
          <w:szCs w:val="20"/>
        </w:rPr>
        <w:t>Pasivos en especie</w:t>
      </w:r>
    </w:p>
    <w:p w:rsidR="00B4362A" w:rsidRDefault="00B4362A" w:rsidP="00B4362A">
      <w:pPr>
        <w:tabs>
          <w:tab w:val="left" w:pos="459"/>
        </w:tabs>
        <w:ind w:left="34"/>
        <w:jc w:val="both"/>
        <w:rPr>
          <w:rFonts w:ascii="Lucida Calligraphy" w:hAnsi="Lucida Calligraphy" w:cstheme="minorHAnsi"/>
          <w:sz w:val="16"/>
          <w:szCs w:val="16"/>
        </w:rPr>
      </w:pPr>
      <w:r w:rsidRPr="008B50EA">
        <w:rPr>
          <w:rFonts w:ascii="Lucida Calligraphy" w:hAnsi="Lucida Calligraphy" w:cstheme="minorHAnsi"/>
          <w:sz w:val="16"/>
          <w:szCs w:val="16"/>
        </w:rPr>
        <w:t xml:space="preserve">Cuando la obligación </w:t>
      </w:r>
      <w:r>
        <w:rPr>
          <w:rFonts w:ascii="Lucida Calligraphy" w:hAnsi="Lucida Calligraphy" w:cstheme="minorHAnsi"/>
          <w:sz w:val="16"/>
          <w:szCs w:val="16"/>
        </w:rPr>
        <w:t>consista entregar bienes que se encuentran en existencia será la medición contables de dichos bienes y los costos adicionales para poner estos bienes a disposición del acreedor.</w:t>
      </w:r>
    </w:p>
    <w:p w:rsidR="00B4362A" w:rsidRDefault="00B4362A" w:rsidP="00B4362A">
      <w:pPr>
        <w:tabs>
          <w:tab w:val="left" w:pos="459"/>
        </w:tabs>
        <w:ind w:left="34"/>
        <w:jc w:val="both"/>
        <w:rPr>
          <w:rFonts w:ascii="Lucida Calligraphy" w:hAnsi="Lucida Calligraphy" w:cstheme="minorHAnsi"/>
          <w:sz w:val="16"/>
          <w:szCs w:val="16"/>
        </w:rPr>
      </w:pPr>
      <w:r>
        <w:rPr>
          <w:rFonts w:ascii="Lucida Calligraphy" w:hAnsi="Lucida Calligraphy" w:cstheme="minorHAnsi"/>
          <w:sz w:val="16"/>
          <w:szCs w:val="16"/>
        </w:rPr>
        <w:t>Cuando la obligación consista en entregar bienes que puedan ser adquiridos se computara el costo de adquisición y los costos adicionales para poner estos bienes a disposición del acreedor.</w:t>
      </w:r>
    </w:p>
    <w:p w:rsidR="00B4362A" w:rsidRPr="008B50EA" w:rsidRDefault="00B4362A" w:rsidP="00B4362A">
      <w:pPr>
        <w:tabs>
          <w:tab w:val="left" w:pos="459"/>
        </w:tabs>
        <w:ind w:left="34"/>
        <w:jc w:val="both"/>
        <w:rPr>
          <w:rFonts w:ascii="Lucida Calligraphy" w:hAnsi="Lucida Calligraphy" w:cstheme="minorHAnsi"/>
          <w:sz w:val="16"/>
          <w:szCs w:val="16"/>
        </w:rPr>
      </w:pPr>
      <w:r>
        <w:rPr>
          <w:rFonts w:ascii="Lucida Calligraphy" w:hAnsi="Lucida Calligraphy" w:cstheme="minorHAnsi"/>
          <w:sz w:val="16"/>
          <w:szCs w:val="16"/>
        </w:rPr>
        <w:t>Cuando la obligación consista en entregar bienes que deban ser producidos, se tomara el importe mayor entre las sumas recibidas y la suma de su costo de producción y los costos adicionales para poner estos bienes a disposición del acreedor.</w:t>
      </w:r>
    </w:p>
    <w:p w:rsidR="00B4362A" w:rsidRPr="008B50EA" w:rsidRDefault="00B4362A" w:rsidP="00B4362A">
      <w:pPr>
        <w:tabs>
          <w:tab w:val="left" w:pos="459"/>
        </w:tabs>
        <w:ind w:left="34"/>
        <w:jc w:val="both"/>
        <w:rPr>
          <w:rFonts w:ascii="Lucida Calligraphy" w:hAnsi="Lucida Calligraphy" w:cstheme="minorHAnsi"/>
          <w:sz w:val="16"/>
          <w:szCs w:val="16"/>
        </w:rPr>
      </w:pPr>
      <w:r>
        <w:rPr>
          <w:rFonts w:ascii="Lucida Calligraphy" w:hAnsi="Lucida Calligraphy" w:cstheme="minorHAnsi"/>
          <w:sz w:val="16"/>
          <w:szCs w:val="16"/>
        </w:rPr>
        <w:t>Cuando la obligación consista en prestar servicios, se tomara el importe mayor entre las sumas recibidas y la suma de su costo de producción a la fecha de medicion</w:t>
      </w:r>
    </w:p>
    <w:p w:rsidR="00B4362A" w:rsidRPr="00333F4A" w:rsidRDefault="00B4362A" w:rsidP="00B4362A">
      <w:pPr>
        <w:tabs>
          <w:tab w:val="left" w:pos="851"/>
        </w:tabs>
        <w:jc w:val="both"/>
        <w:rPr>
          <w:rFonts w:ascii="Lucida Calligraphy" w:hAnsi="Lucida Calligraphy" w:cstheme="minorHAnsi"/>
          <w:sz w:val="16"/>
          <w:szCs w:val="16"/>
        </w:rPr>
      </w:pPr>
    </w:p>
    <w:p w:rsidR="00B4362A" w:rsidRPr="00B4362A" w:rsidRDefault="00B4362A">
      <w:pPr>
        <w:rPr>
          <w:lang w:val="es-ES"/>
        </w:rPr>
      </w:pPr>
    </w:p>
    <w:sectPr w:rsidR="00B4362A" w:rsidRPr="00B4362A" w:rsidSect="00B4362A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E3F71"/>
    <w:multiLevelType w:val="hybridMultilevel"/>
    <w:tmpl w:val="219813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554AE"/>
    <w:multiLevelType w:val="hybridMultilevel"/>
    <w:tmpl w:val="69D6C49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B92EF2"/>
    <w:multiLevelType w:val="hybridMultilevel"/>
    <w:tmpl w:val="71F099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A5543"/>
    <w:multiLevelType w:val="hybridMultilevel"/>
    <w:tmpl w:val="70B411B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B31236"/>
    <w:multiLevelType w:val="hybridMultilevel"/>
    <w:tmpl w:val="E8C213E6"/>
    <w:lvl w:ilvl="0" w:tplc="E39C667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D44FD"/>
    <w:multiLevelType w:val="hybridMultilevel"/>
    <w:tmpl w:val="B6BA7F26"/>
    <w:lvl w:ilvl="0" w:tplc="D14E409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7F1810"/>
    <w:multiLevelType w:val="hybridMultilevel"/>
    <w:tmpl w:val="08EA627E"/>
    <w:lvl w:ilvl="0" w:tplc="0C0A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>
    <w:nsid w:val="68FA051D"/>
    <w:multiLevelType w:val="hybridMultilevel"/>
    <w:tmpl w:val="1A209C6E"/>
    <w:lvl w:ilvl="0" w:tplc="0C0A0017">
      <w:start w:val="1"/>
      <w:numFmt w:val="lowerLetter"/>
      <w:lvlText w:val="%1)"/>
      <w:lvlJc w:val="left"/>
      <w:pPr>
        <w:ind w:left="1800" w:hanging="360"/>
      </w:p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hyphenationZone w:val="425"/>
  <w:drawingGridHorizontalSpacing w:val="110"/>
  <w:displayHorizontalDrawingGridEvery w:val="2"/>
  <w:characterSpacingControl w:val="doNotCompress"/>
  <w:compat/>
  <w:rsids>
    <w:rsidRoot w:val="00B4362A"/>
    <w:rsid w:val="000078C3"/>
    <w:rsid w:val="00042263"/>
    <w:rsid w:val="00144889"/>
    <w:rsid w:val="00146A08"/>
    <w:rsid w:val="00153E74"/>
    <w:rsid w:val="00154BD0"/>
    <w:rsid w:val="001670FE"/>
    <w:rsid w:val="00170DFC"/>
    <w:rsid w:val="00181A7C"/>
    <w:rsid w:val="001D395F"/>
    <w:rsid w:val="00211FC1"/>
    <w:rsid w:val="00214A1B"/>
    <w:rsid w:val="00225027"/>
    <w:rsid w:val="00234571"/>
    <w:rsid w:val="002442A6"/>
    <w:rsid w:val="00270E20"/>
    <w:rsid w:val="002A436B"/>
    <w:rsid w:val="002A6D28"/>
    <w:rsid w:val="002B4FB9"/>
    <w:rsid w:val="002F146F"/>
    <w:rsid w:val="002F1A82"/>
    <w:rsid w:val="003017BF"/>
    <w:rsid w:val="00380E64"/>
    <w:rsid w:val="003A31EF"/>
    <w:rsid w:val="003F0E95"/>
    <w:rsid w:val="00402595"/>
    <w:rsid w:val="004229F0"/>
    <w:rsid w:val="00432A63"/>
    <w:rsid w:val="004423C8"/>
    <w:rsid w:val="0045657A"/>
    <w:rsid w:val="00496F6D"/>
    <w:rsid w:val="004F02F1"/>
    <w:rsid w:val="004F55A0"/>
    <w:rsid w:val="00504450"/>
    <w:rsid w:val="00504A67"/>
    <w:rsid w:val="00540E2B"/>
    <w:rsid w:val="00553E45"/>
    <w:rsid w:val="00561402"/>
    <w:rsid w:val="00577816"/>
    <w:rsid w:val="005972E6"/>
    <w:rsid w:val="005A0EAB"/>
    <w:rsid w:val="00620943"/>
    <w:rsid w:val="006529D7"/>
    <w:rsid w:val="00663D82"/>
    <w:rsid w:val="006C439B"/>
    <w:rsid w:val="00724E47"/>
    <w:rsid w:val="00742BCB"/>
    <w:rsid w:val="00744F24"/>
    <w:rsid w:val="00777AD1"/>
    <w:rsid w:val="007F2CC0"/>
    <w:rsid w:val="007F68FE"/>
    <w:rsid w:val="00820CF4"/>
    <w:rsid w:val="00862D1F"/>
    <w:rsid w:val="008738E1"/>
    <w:rsid w:val="00893FB8"/>
    <w:rsid w:val="008A4294"/>
    <w:rsid w:val="008C4346"/>
    <w:rsid w:val="008D2314"/>
    <w:rsid w:val="008D6F2D"/>
    <w:rsid w:val="008F0901"/>
    <w:rsid w:val="008F5B7F"/>
    <w:rsid w:val="008F5F4E"/>
    <w:rsid w:val="008F7C5E"/>
    <w:rsid w:val="0090336E"/>
    <w:rsid w:val="009353CC"/>
    <w:rsid w:val="00947FF8"/>
    <w:rsid w:val="00954392"/>
    <w:rsid w:val="00965FC1"/>
    <w:rsid w:val="009663D2"/>
    <w:rsid w:val="00985884"/>
    <w:rsid w:val="00993019"/>
    <w:rsid w:val="009A031F"/>
    <w:rsid w:val="009A0BB2"/>
    <w:rsid w:val="009A349A"/>
    <w:rsid w:val="009F7868"/>
    <w:rsid w:val="00A407E1"/>
    <w:rsid w:val="00A44706"/>
    <w:rsid w:val="00A823BC"/>
    <w:rsid w:val="00A85BF9"/>
    <w:rsid w:val="00AB1C5E"/>
    <w:rsid w:val="00AF26C3"/>
    <w:rsid w:val="00B10CE4"/>
    <w:rsid w:val="00B20B95"/>
    <w:rsid w:val="00B2254D"/>
    <w:rsid w:val="00B236C8"/>
    <w:rsid w:val="00B4362A"/>
    <w:rsid w:val="00B560A1"/>
    <w:rsid w:val="00B60694"/>
    <w:rsid w:val="00B71412"/>
    <w:rsid w:val="00B91821"/>
    <w:rsid w:val="00BA7DF3"/>
    <w:rsid w:val="00BB339A"/>
    <w:rsid w:val="00C16233"/>
    <w:rsid w:val="00C30CA8"/>
    <w:rsid w:val="00C67F4F"/>
    <w:rsid w:val="00CF5157"/>
    <w:rsid w:val="00D0764E"/>
    <w:rsid w:val="00D21E7A"/>
    <w:rsid w:val="00D27BC6"/>
    <w:rsid w:val="00DB7002"/>
    <w:rsid w:val="00DE76EB"/>
    <w:rsid w:val="00DF201B"/>
    <w:rsid w:val="00E07AE1"/>
    <w:rsid w:val="00E20912"/>
    <w:rsid w:val="00E20A78"/>
    <w:rsid w:val="00E34061"/>
    <w:rsid w:val="00E90338"/>
    <w:rsid w:val="00E94B30"/>
    <w:rsid w:val="00EC4F97"/>
    <w:rsid w:val="00F136BF"/>
    <w:rsid w:val="00F142A8"/>
    <w:rsid w:val="00F27BB3"/>
    <w:rsid w:val="00F27D0A"/>
    <w:rsid w:val="00F936F6"/>
    <w:rsid w:val="00FA10FE"/>
    <w:rsid w:val="00FA2E26"/>
    <w:rsid w:val="00FD5907"/>
    <w:rsid w:val="00FE2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62A"/>
    <w:pPr>
      <w:spacing w:after="200" w:line="276" w:lineRule="auto"/>
    </w:pPr>
    <w:rPr>
      <w:rFonts w:asciiTheme="majorHAnsi" w:eastAsiaTheme="majorEastAsia" w:hAnsiTheme="majorHAnsi" w:cstheme="majorBidi"/>
      <w:sz w:val="22"/>
      <w:lang w:val="en-US" w:bidi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B4362A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4362A"/>
    <w:pPr>
      <w:spacing w:before="200" w:after="0" w:line="271" w:lineRule="auto"/>
      <w:outlineLvl w:val="1"/>
    </w:pPr>
    <w:rPr>
      <w:smallCap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4362A"/>
    <w:rPr>
      <w:rFonts w:asciiTheme="majorHAnsi" w:eastAsiaTheme="majorEastAsia" w:hAnsiTheme="majorHAnsi" w:cstheme="majorBidi"/>
      <w:smallCaps/>
      <w:spacing w:val="5"/>
      <w:sz w:val="36"/>
      <w:szCs w:val="36"/>
      <w:lang w:val="en-US" w:bidi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4362A"/>
    <w:rPr>
      <w:rFonts w:asciiTheme="majorHAnsi" w:eastAsiaTheme="majorEastAsia" w:hAnsiTheme="majorHAnsi" w:cstheme="majorBidi"/>
      <w:smallCaps/>
      <w:sz w:val="28"/>
      <w:szCs w:val="28"/>
      <w:lang w:val="en-US" w:bidi="en-US"/>
    </w:rPr>
  </w:style>
  <w:style w:type="paragraph" w:styleId="Prrafodelista">
    <w:name w:val="List Paragraph"/>
    <w:basedOn w:val="Normal"/>
    <w:uiPriority w:val="34"/>
    <w:qFormat/>
    <w:rsid w:val="00B436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844</Words>
  <Characters>4647</Characters>
  <Application>Microsoft Office Word</Application>
  <DocSecurity>0</DocSecurity>
  <Lines>38</Lines>
  <Paragraphs>10</Paragraphs>
  <ScaleCrop>false</ScaleCrop>
  <Company/>
  <LinksUpToDate>false</LinksUpToDate>
  <CharactersWithSpaces>5481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Graciela</dc:creator>
  <cp:keywords/>
  <dc:description/>
  <cp:lastModifiedBy>Graciela</cp:lastModifiedBy>
  <cp:revision>1</cp:revision>
  <dcterms:created xsi:type="dcterms:W3CDTF">2012-06-30T14:56:00Z</dcterms:created>
  <dcterms:modified xsi:type="dcterms:W3CDTF">2012-06-30T14:58:00Z</dcterms:modified>
</cp:coreProperties>
</file>